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150" w:beforeAutospacing="0" w:after="375" w:afterAutospacing="0" w:line="450" w:lineRule="atLeast"/>
        <w:ind w:left="766" w:right="0"/>
        <w:jc w:val="center"/>
        <w:rPr>
          <w:rFonts w:hint="eastAsia" w:ascii="宋体" w:hAnsi="宋体" w:eastAsia="宋体" w:cs="宋体"/>
          <w:b/>
          <w:color w:val="auto"/>
          <w:sz w:val="30"/>
          <w:szCs w:val="30"/>
        </w:rPr>
      </w:pPr>
      <w:r>
        <w:rPr>
          <w:rFonts w:hint="eastAsia"/>
          <w:b/>
          <w:bCs/>
          <w:color w:val="auto"/>
          <w:sz w:val="30"/>
          <w:szCs w:val="30"/>
          <w:lang w:val="en-US" w:eastAsia="zh-CN"/>
        </w:rPr>
        <w:t>安徽大学2020年度安徽省重点研究与开发项目</w:t>
      </w:r>
      <w:r>
        <w:rPr>
          <w:rFonts w:hint="eastAsia" w:ascii="宋体" w:hAnsi="宋体" w:eastAsia="宋体" w:cs="宋体"/>
          <w:b/>
          <w:color w:val="auto"/>
          <w:kern w:val="0"/>
          <w:sz w:val="30"/>
          <w:szCs w:val="30"/>
          <w:shd w:val="clear" w:fill="FFFFFF"/>
          <w:lang w:val="en-US" w:eastAsia="zh-CN" w:bidi="ar"/>
        </w:rPr>
        <w:t>校内拟推荐项目公示</w:t>
      </w:r>
    </w:p>
    <w:tbl>
      <w:tblPr>
        <w:tblStyle w:val="4"/>
        <w:tblW w:w="13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21"/>
        <w:gridCol w:w="1848"/>
        <w:gridCol w:w="679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1021" w:type="dxa"/>
            <w:vAlign w:val="top"/>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vertAlign w:val="baseline"/>
                <w:lang w:val="en-US" w:eastAsia="zh-CN"/>
              </w:rPr>
              <w:t>申请人</w:t>
            </w:r>
          </w:p>
        </w:tc>
        <w:tc>
          <w:tcPr>
            <w:tcW w:w="1848"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申请类别</w:t>
            </w:r>
          </w:p>
        </w:tc>
        <w:tc>
          <w:tcPr>
            <w:tcW w:w="6791"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项目名称</w:t>
            </w:r>
          </w:p>
        </w:tc>
        <w:tc>
          <w:tcPr>
            <w:tcW w:w="3205"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1</w:t>
            </w:r>
          </w:p>
        </w:tc>
        <w:tc>
          <w:tcPr>
            <w:tcW w:w="1021"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vertAlign w:val="baseline"/>
                <w:lang w:val="en-US" w:eastAsia="zh-CN"/>
              </w:rPr>
              <w:t>翁士状</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农产品质量安全快速检测装置研发及应用</w:t>
            </w:r>
          </w:p>
        </w:tc>
        <w:tc>
          <w:tcPr>
            <w:tcW w:w="3205" w:type="dxa"/>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中科院合肥技术创新院、安徽东旭大别山农业科技有限公司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2</w:t>
            </w:r>
          </w:p>
        </w:tc>
        <w:tc>
          <w:tcPr>
            <w:tcW w:w="1021"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vertAlign w:val="baseline"/>
                <w:lang w:val="en-US" w:eastAsia="zh-CN"/>
              </w:rPr>
              <w:t>张楠楠</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2,4-DAPG对荧光假单胞菌2P24生防作用的调控机制研究</w:t>
            </w:r>
          </w:p>
        </w:tc>
        <w:tc>
          <w:tcPr>
            <w:tcW w:w="3205" w:type="dxa"/>
          </w:tcPr>
          <w:p>
            <w:pPr>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安徽瑞然生物药肥科技有限公司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3</w:t>
            </w:r>
          </w:p>
        </w:tc>
        <w:tc>
          <w:tcPr>
            <w:tcW w:w="1021" w:type="dxa"/>
            <w:vAlign w:val="top"/>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吴庆喜</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i w:val="0"/>
                <w:caps w:val="0"/>
                <w:color w:val="333333"/>
                <w:spacing w:val="0"/>
                <w:sz w:val="21"/>
                <w:szCs w:val="21"/>
                <w:shd w:val="clear" w:fill="FBFBFB"/>
              </w:rPr>
              <w:t>动物苦胆资源的微生物全细胞催化转化技术研发与高效利用</w:t>
            </w:r>
          </w:p>
        </w:tc>
        <w:tc>
          <w:tcPr>
            <w:tcW w:w="3205"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安徽科宝生物工程公司</w:t>
            </w:r>
          </w:p>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县域企业</w:t>
            </w:r>
            <w:r>
              <w:rPr>
                <w:rFonts w:hint="eastAsia" w:asciiTheme="minorEastAsia" w:hAnsiTheme="minorEastAsia" w:eastAsiaTheme="minorEastAsia" w:cstheme="minorEastAsia"/>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4</w:t>
            </w:r>
          </w:p>
        </w:tc>
        <w:tc>
          <w:tcPr>
            <w:tcW w:w="1021" w:type="dxa"/>
            <w:vAlign w:val="top"/>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孙松</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i w:val="0"/>
                <w:caps w:val="0"/>
                <w:color w:val="333333"/>
                <w:spacing w:val="0"/>
                <w:sz w:val="21"/>
                <w:szCs w:val="21"/>
                <w:shd w:val="clear" w:fill="FBFBFB"/>
              </w:rPr>
              <w:t>用于集成电路芯片制造的玻璃粉制备与催化结晶工艺</w:t>
            </w:r>
          </w:p>
        </w:tc>
        <w:tc>
          <w:tcPr>
            <w:tcW w:w="3205"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安徽钜芯半导体有限公司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top"/>
          </w:tcPr>
          <w:p>
            <w:pPr>
              <w:ind w:firstLine="280" w:firstLineChars="100"/>
              <w:jc w:val="both"/>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5</w:t>
            </w:r>
          </w:p>
        </w:tc>
        <w:tc>
          <w:tcPr>
            <w:tcW w:w="1021" w:type="dxa"/>
            <w:vAlign w:val="top"/>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陈新兵</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复杂条件下钢质型材轮廓检测关键技术研究</w:t>
            </w:r>
          </w:p>
        </w:tc>
        <w:tc>
          <w:tcPr>
            <w:tcW w:w="3205"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马鞍山钢铁集团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6</w:t>
            </w:r>
          </w:p>
        </w:tc>
        <w:tc>
          <w:tcPr>
            <w:tcW w:w="1021" w:type="dxa"/>
            <w:vAlign w:val="top"/>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i w:val="0"/>
                <w:caps w:val="0"/>
                <w:color w:val="333333"/>
                <w:spacing w:val="0"/>
                <w:sz w:val="21"/>
                <w:szCs w:val="21"/>
                <w:shd w:val="clear" w:fill="FBFBFB"/>
              </w:rPr>
              <w:t>孙登第</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i w:val="0"/>
                <w:caps w:val="0"/>
                <w:color w:val="333333"/>
                <w:spacing w:val="0"/>
                <w:sz w:val="21"/>
                <w:szCs w:val="21"/>
                <w:shd w:val="clear" w:fill="FBFBFB"/>
              </w:rPr>
              <w:t>融合视觉智能的新型车辆超载超限实时动态检测关键技术研究与应用</w:t>
            </w:r>
          </w:p>
        </w:tc>
        <w:tc>
          <w:tcPr>
            <w:tcW w:w="3205"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ind w:left="0" w:right="0" w:firstLine="0"/>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BFBFB"/>
              </w:rPr>
              <w:t>合肥市正茂科技有限公司</w:t>
            </w:r>
          </w:p>
          <w:p>
            <w:pPr>
              <w:jc w:val="center"/>
              <w:rPr>
                <w:rFonts w:hint="eastAsia" w:asciiTheme="minorEastAsia" w:hAnsiTheme="minorEastAsia" w:eastAsiaTheme="minorEastAsia" w:cstheme="minor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tcPr>
          <w:p>
            <w:pPr>
              <w:jc w:val="center"/>
              <w:rPr>
                <w:rFonts w:hint="eastAsia" w:asciiTheme="minorEastAsia" w:hAnsiTheme="minorEastAsia" w:eastAsiaTheme="minorEastAsia" w:cstheme="minorEastAsia"/>
                <w:b w:val="0"/>
                <w:bCs w:val="0"/>
                <w:sz w:val="28"/>
                <w:szCs w:val="28"/>
                <w:vertAlign w:val="baseline"/>
                <w:lang w:val="en-US" w:eastAsia="zh-CN"/>
              </w:rPr>
            </w:pPr>
            <w:r>
              <w:rPr>
                <w:rFonts w:hint="eastAsia" w:asciiTheme="minorEastAsia" w:hAnsiTheme="minorEastAsia" w:eastAsiaTheme="minorEastAsia" w:cstheme="minorEastAsia"/>
                <w:b w:val="0"/>
                <w:bCs w:val="0"/>
                <w:sz w:val="28"/>
                <w:szCs w:val="28"/>
                <w:vertAlign w:val="baseline"/>
                <w:lang w:val="en-US" w:eastAsia="zh-CN"/>
              </w:rPr>
              <w:t>7</w:t>
            </w:r>
          </w:p>
        </w:tc>
        <w:tc>
          <w:tcPr>
            <w:tcW w:w="1021" w:type="dxa"/>
            <w:vAlign w:val="top"/>
          </w:tcPr>
          <w:p>
            <w:pPr>
              <w:jc w:val="center"/>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李学俊</w:t>
            </w:r>
          </w:p>
        </w:tc>
        <w:tc>
          <w:tcPr>
            <w:tcW w:w="1848"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面上攻关</w:t>
            </w:r>
          </w:p>
        </w:tc>
        <w:tc>
          <w:tcPr>
            <w:tcW w:w="6791"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基于边缘计算的装配式建筑智能堆场系统关键技术研究及应用示范</w:t>
            </w:r>
          </w:p>
        </w:tc>
        <w:tc>
          <w:tcPr>
            <w:tcW w:w="3205" w:type="dxa"/>
          </w:tcPr>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安徽省建筑工业有限公司</w:t>
            </w:r>
          </w:p>
          <w:p>
            <w:pPr>
              <w:jc w:val="center"/>
              <w:rPr>
                <w:rFonts w:hint="eastAsia" w:asciiTheme="minorEastAsia" w:hAnsiTheme="minorEastAsia" w:eastAsiaTheme="minorEastAsia" w:cstheme="minorEastAsia"/>
                <w:b w:val="0"/>
                <w:bCs w:val="0"/>
                <w:sz w:val="21"/>
                <w:szCs w:val="21"/>
                <w:vertAlign w:val="baseline"/>
                <w:lang w:val="en-US" w:eastAsia="zh-CN"/>
              </w:rPr>
            </w:pPr>
            <w:r>
              <w:rPr>
                <w:rFonts w:hint="eastAsia" w:asciiTheme="minorEastAsia" w:hAnsiTheme="minorEastAsia" w:eastAsiaTheme="minorEastAsia" w:cstheme="minorEastAsia"/>
                <w:b w:val="0"/>
                <w:bCs w:val="0"/>
                <w:sz w:val="21"/>
                <w:szCs w:val="21"/>
                <w:vertAlign w:val="baseline"/>
                <w:lang w:val="en-US" w:eastAsia="zh-CN"/>
              </w:rPr>
              <w:t>(</w:t>
            </w:r>
            <w:r>
              <w:rPr>
                <w:rFonts w:hint="eastAsia" w:asciiTheme="minorEastAsia" w:hAnsiTheme="minorEastAsia" w:eastAsiaTheme="minorEastAsia" w:cstheme="minorEastAsia"/>
                <w:b/>
                <w:bCs/>
                <w:sz w:val="21"/>
                <w:szCs w:val="21"/>
                <w:vertAlign w:val="baseline"/>
                <w:lang w:val="en-US" w:eastAsia="zh-CN"/>
              </w:rPr>
              <w:t>县域企业</w:t>
            </w:r>
            <w:r>
              <w:rPr>
                <w:rFonts w:hint="eastAsia" w:asciiTheme="minorEastAsia" w:hAnsiTheme="minorEastAsia" w:eastAsiaTheme="minorEastAsia" w:cstheme="minorEastAsia"/>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top"/>
          </w:tcPr>
          <w:p>
            <w:pPr>
              <w:spacing w:line="360" w:lineRule="auto"/>
              <w:jc w:val="center"/>
              <w:rPr>
                <w:rFonts w:hint="eastAsia" w:asciiTheme="minorEastAsia" w:hAnsiTheme="minorEastAsia" w:eastAsiaTheme="minorEastAsia" w:cstheme="minorEastAsia"/>
                <w:b w:val="0"/>
                <w:bCs w:val="0"/>
                <w:kern w:val="2"/>
                <w:sz w:val="28"/>
                <w:szCs w:val="28"/>
                <w:vertAlign w:val="baseline"/>
                <w:lang w:val="en-US" w:eastAsia="zh-CN" w:bidi="ar-SA"/>
              </w:rPr>
            </w:pPr>
            <w:r>
              <w:rPr>
                <w:rFonts w:hint="eastAsia" w:asciiTheme="minorEastAsia" w:hAnsiTheme="minorEastAsia" w:eastAsiaTheme="minorEastAsia" w:cstheme="minorEastAsia"/>
                <w:b w:val="0"/>
                <w:bCs w:val="0"/>
                <w:sz w:val="28"/>
                <w:szCs w:val="28"/>
                <w:vertAlign w:val="baseline"/>
                <w:lang w:val="en-US" w:eastAsia="zh-CN"/>
              </w:rPr>
              <w:t>8</w:t>
            </w:r>
          </w:p>
        </w:tc>
        <w:tc>
          <w:tcPr>
            <w:tcW w:w="1021" w:type="dxa"/>
            <w:vAlign w:val="top"/>
          </w:tcPr>
          <w:p>
            <w:pPr>
              <w:spacing w:line="360" w:lineRule="auto"/>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刘文清</w:t>
            </w:r>
          </w:p>
        </w:tc>
        <w:tc>
          <w:tcPr>
            <w:tcW w:w="1848"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生态环境专项</w:t>
            </w:r>
          </w:p>
        </w:tc>
        <w:tc>
          <w:tcPr>
            <w:tcW w:w="6791"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江淮地区大气污染成因、排放评估及影响研究</w:t>
            </w:r>
          </w:p>
        </w:tc>
        <w:tc>
          <w:tcPr>
            <w:tcW w:w="3205"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top"/>
          </w:tcPr>
          <w:p>
            <w:pPr>
              <w:spacing w:line="360" w:lineRule="auto"/>
              <w:jc w:val="center"/>
              <w:rPr>
                <w:rFonts w:hint="eastAsia" w:asciiTheme="minorEastAsia" w:hAnsiTheme="minorEastAsia" w:eastAsiaTheme="minorEastAsia" w:cstheme="minorEastAsia"/>
                <w:b w:val="0"/>
                <w:bCs w:val="0"/>
                <w:kern w:val="2"/>
                <w:sz w:val="28"/>
                <w:szCs w:val="28"/>
                <w:vertAlign w:val="baseline"/>
                <w:lang w:val="en-US" w:eastAsia="zh-CN" w:bidi="ar-SA"/>
              </w:rPr>
            </w:pPr>
            <w:r>
              <w:rPr>
                <w:rFonts w:hint="eastAsia" w:asciiTheme="minorEastAsia" w:hAnsiTheme="minorEastAsia" w:eastAsiaTheme="minorEastAsia" w:cstheme="minorEastAsia"/>
                <w:b w:val="0"/>
                <w:bCs w:val="0"/>
                <w:sz w:val="28"/>
                <w:szCs w:val="28"/>
                <w:vertAlign w:val="baseline"/>
                <w:lang w:val="en-US" w:eastAsia="zh-CN"/>
              </w:rPr>
              <w:t>9</w:t>
            </w:r>
          </w:p>
        </w:tc>
        <w:tc>
          <w:tcPr>
            <w:tcW w:w="1021" w:type="dxa"/>
            <w:vAlign w:val="top"/>
          </w:tcPr>
          <w:p>
            <w:pPr>
              <w:spacing w:line="360" w:lineRule="auto"/>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sz w:val="21"/>
                <w:szCs w:val="21"/>
                <w:lang w:val="en-US" w:eastAsia="zh-CN"/>
              </w:rPr>
              <w:t>孙英强</w:t>
            </w:r>
          </w:p>
        </w:tc>
        <w:tc>
          <w:tcPr>
            <w:tcW w:w="1848"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生态环境专项</w:t>
            </w:r>
          </w:p>
        </w:tc>
        <w:tc>
          <w:tcPr>
            <w:tcW w:w="6791"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废塑料与巢湖蓝藻共水热液化制备生物燃料及藻基生物塑料的工艺研究</w:t>
            </w:r>
          </w:p>
        </w:tc>
        <w:tc>
          <w:tcPr>
            <w:tcW w:w="3205" w:type="dxa"/>
            <w:vAlign w:val="top"/>
          </w:tcPr>
          <w:p>
            <w:pPr>
              <w:spacing w:line="360" w:lineRule="auto"/>
              <w:jc w:val="center"/>
              <w:rPr>
                <w:rFonts w:hint="eastAsia" w:asciiTheme="minorEastAsia" w:hAnsiTheme="minorEastAsia" w:eastAsiaTheme="minorEastAsia" w:cstheme="minorEastAsia"/>
                <w:b w:val="0"/>
                <w:bCs w:val="0"/>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安徽天意环保工程有限公司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top"/>
          </w:tcPr>
          <w:p>
            <w:pPr>
              <w:jc w:val="center"/>
              <w:rPr>
                <w:rFonts w:hint="eastAsia" w:asciiTheme="minorEastAsia" w:hAnsiTheme="minorEastAsia" w:eastAsiaTheme="minorEastAsia" w:cstheme="minorEastAsia"/>
                <w:b w:val="0"/>
                <w:bCs w:val="0"/>
                <w:kern w:val="2"/>
                <w:sz w:val="28"/>
                <w:szCs w:val="28"/>
                <w:vertAlign w:val="baseline"/>
                <w:lang w:val="en-US" w:eastAsia="zh-CN" w:bidi="ar-SA"/>
              </w:rPr>
            </w:pPr>
            <w:r>
              <w:rPr>
                <w:rFonts w:hint="eastAsia" w:asciiTheme="minorEastAsia" w:hAnsiTheme="minorEastAsia" w:eastAsiaTheme="minorEastAsia" w:cstheme="minorEastAsia"/>
                <w:b w:val="0"/>
                <w:bCs w:val="0"/>
                <w:sz w:val="28"/>
                <w:szCs w:val="28"/>
                <w:vertAlign w:val="baseline"/>
                <w:lang w:val="en-US" w:eastAsia="zh-CN"/>
              </w:rPr>
              <w:t>10</w:t>
            </w:r>
          </w:p>
        </w:tc>
        <w:tc>
          <w:tcPr>
            <w:tcW w:w="1021" w:type="dxa"/>
            <w:vAlign w:val="top"/>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毕红</w:t>
            </w:r>
          </w:p>
        </w:tc>
        <w:tc>
          <w:tcPr>
            <w:tcW w:w="1848" w:type="dxa"/>
            <w:vAlign w:val="top"/>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对外科技合作</w:t>
            </w:r>
          </w:p>
        </w:tc>
        <w:tc>
          <w:tcPr>
            <w:tcW w:w="6791" w:type="dxa"/>
            <w:vAlign w:val="top"/>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过度金属离子@石墨烯量子点的制备及其电子顺磁共振波普研究</w:t>
            </w:r>
          </w:p>
        </w:tc>
        <w:tc>
          <w:tcPr>
            <w:tcW w:w="3205" w:type="dxa"/>
            <w:vAlign w:val="top"/>
          </w:tcPr>
          <w:p>
            <w:pPr>
              <w:jc w:val="center"/>
              <w:rPr>
                <w:rFonts w:hint="eastAsia" w:asciiTheme="minorEastAsia" w:hAnsiTheme="minorEastAsia" w:eastAsiaTheme="minorEastAsia" w:cstheme="minorEastAsia"/>
                <w:b/>
                <w:bCs/>
                <w:kern w:val="2"/>
                <w:sz w:val="21"/>
                <w:szCs w:val="21"/>
                <w:vertAlign w:val="baseline"/>
                <w:lang w:val="en-US" w:eastAsia="zh-CN" w:bidi="ar-SA"/>
              </w:rPr>
            </w:pPr>
            <w:r>
              <w:rPr>
                <w:rFonts w:hint="eastAsia" w:asciiTheme="minorEastAsia" w:hAnsiTheme="minorEastAsia" w:eastAsiaTheme="minorEastAsia" w:cstheme="minorEastAsia"/>
                <w:b w:val="0"/>
                <w:bCs w:val="0"/>
                <w:sz w:val="21"/>
                <w:szCs w:val="21"/>
                <w:vertAlign w:val="baseline"/>
                <w:lang w:val="en-US" w:eastAsia="zh-CN"/>
              </w:rPr>
              <w:t>俄罗斯科学院</w:t>
            </w:r>
          </w:p>
        </w:tc>
      </w:tr>
    </w:tbl>
    <w:p>
      <w:pPr>
        <w:rPr>
          <w:rFonts w:hint="default"/>
          <w:sz w:val="18"/>
          <w:szCs w:val="18"/>
          <w:lang w:val="en-US" w:eastAsia="zh-CN"/>
        </w:rPr>
      </w:pPr>
      <w:bookmarkStart w:id="0" w:name="_GoBack"/>
      <w:bookmarkEnd w:id="0"/>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0B5C"/>
    <w:rsid w:val="13CE5C4C"/>
    <w:rsid w:val="29C46A05"/>
    <w:rsid w:val="4B6329C9"/>
    <w:rsid w:val="4F043701"/>
    <w:rsid w:val="5FC31EF3"/>
    <w:rsid w:val="71EE0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uiPriority w:val="0"/>
    <w:rPr>
      <w:color w:val="494A4B"/>
      <w:u w:val="none"/>
    </w:rPr>
  </w:style>
  <w:style w:type="character" w:styleId="7">
    <w:name w:val="Hyperlink"/>
    <w:basedOn w:val="5"/>
    <w:uiPriority w:val="0"/>
    <w:rPr>
      <w:color w:val="494A4B"/>
      <w:u w:val="none"/>
    </w:rPr>
  </w:style>
  <w:style w:type="character" w:customStyle="1" w:styleId="8">
    <w:name w:val="item-name"/>
    <w:basedOn w:val="5"/>
    <w:uiPriority w:val="0"/>
    <w:rPr>
      <w:bdr w:val="none" w:color="auto" w:sz="0" w:space="0"/>
    </w:rPr>
  </w:style>
  <w:style w:type="character" w:customStyle="1" w:styleId="9">
    <w:name w:val="item-name1"/>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2019-12-22T02:19:00Z</dcterms:created>
  <dc:creator>苏坤</dc:creator>
  <cp:lastModifiedBy>风行雷</cp:lastModifiedBy>
  <cp:lastPrinted>2019-12-24T03:06:00Z</cp:lastPrinted>
  <dcterms:modified xsi:type="dcterms:W3CDTF">2019-12-24T09:23:08Z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