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2021年度省自然科</w:t>
      </w:r>
      <w:bookmarkStart w:id="0" w:name="_GoBack"/>
      <w:bookmarkEnd w:id="0"/>
      <w:r>
        <w:rPr>
          <w:rFonts w:ascii="Times New Roman" w:hAnsi="Times New Roman" w:eastAsia="方正小标宋_GBK" w:cs="Times New Roman"/>
          <w:bCs/>
          <w:sz w:val="44"/>
          <w:szCs w:val="44"/>
        </w:rPr>
        <w:t>学基金答辩项目清单</w:t>
      </w:r>
    </w:p>
    <w:p>
      <w:pPr>
        <w:jc w:val="center"/>
        <w:rPr>
          <w:rFonts w:ascii="Times New Roman" w:hAnsi="Times New Roman" w:eastAsia="方正小标宋_GBK" w:cs="Times New Roman"/>
          <w:b/>
          <w:bCs/>
          <w:sz w:val="20"/>
          <w:szCs w:val="20"/>
        </w:rPr>
      </w:pPr>
    </w:p>
    <w:tbl>
      <w:tblPr>
        <w:tblStyle w:val="3"/>
        <w:tblW w:w="9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4686"/>
        <w:gridCol w:w="2003"/>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ascii="Times New Roman" w:hAnsi="Times New Roman" w:cs="Times New Roman"/>
                <w:b/>
                <w:bCs/>
                <w:sz w:val="24"/>
                <w:szCs w:val="24"/>
              </w:rPr>
            </w:pPr>
            <w:r>
              <w:rPr>
                <w:rFonts w:ascii="Times New Roman" w:hAnsi="Times New Roman" w:cs="Times New Roman"/>
                <w:b/>
                <w:bCs/>
                <w:color w:val="000000"/>
                <w:sz w:val="24"/>
                <w:szCs w:val="24"/>
              </w:rPr>
              <w:t>序号</w:t>
            </w:r>
          </w:p>
        </w:tc>
        <w:tc>
          <w:tcPr>
            <w:tcW w:w="4686" w:type="dxa"/>
            <w:vAlign w:val="center"/>
          </w:tcPr>
          <w:p>
            <w:pPr>
              <w:jc w:val="center"/>
              <w:rPr>
                <w:rFonts w:ascii="Times New Roman" w:hAnsi="Times New Roman" w:cs="Times New Roman"/>
                <w:b/>
                <w:bCs/>
                <w:sz w:val="24"/>
                <w:szCs w:val="24"/>
              </w:rPr>
            </w:pPr>
            <w:r>
              <w:rPr>
                <w:rFonts w:ascii="Times New Roman" w:hAnsi="Times New Roman" w:cs="Times New Roman"/>
                <w:b/>
                <w:bCs/>
                <w:kern w:val="0"/>
                <w:sz w:val="24"/>
                <w:szCs w:val="24"/>
              </w:rPr>
              <w:t>项目名称</w:t>
            </w:r>
          </w:p>
        </w:tc>
        <w:tc>
          <w:tcPr>
            <w:tcW w:w="2003" w:type="dxa"/>
            <w:vAlign w:val="center"/>
          </w:tcPr>
          <w:p>
            <w:pPr>
              <w:jc w:val="center"/>
              <w:rPr>
                <w:rFonts w:ascii="Times New Roman" w:hAnsi="Times New Roman" w:cs="Times New Roman"/>
                <w:b/>
                <w:bCs/>
                <w:sz w:val="24"/>
                <w:szCs w:val="24"/>
              </w:rPr>
            </w:pPr>
            <w:r>
              <w:rPr>
                <w:rFonts w:ascii="Times New Roman" w:hAnsi="Times New Roman" w:cs="Times New Roman"/>
                <w:b/>
                <w:bCs/>
                <w:kern w:val="0"/>
                <w:sz w:val="24"/>
                <w:szCs w:val="24"/>
              </w:rPr>
              <w:t>依托单位</w:t>
            </w:r>
          </w:p>
        </w:tc>
        <w:tc>
          <w:tcPr>
            <w:tcW w:w="1134" w:type="dxa"/>
            <w:vAlign w:val="center"/>
          </w:tcPr>
          <w:p>
            <w:pPr>
              <w:jc w:val="center"/>
              <w:rPr>
                <w:rFonts w:ascii="Times New Roman" w:hAnsi="Times New Roman" w:cs="Times New Roman"/>
                <w:b/>
                <w:bCs/>
                <w:kern w:val="0"/>
                <w:sz w:val="24"/>
                <w:szCs w:val="24"/>
              </w:rPr>
            </w:pPr>
            <w:r>
              <w:rPr>
                <w:rFonts w:ascii="Times New Roman" w:hAnsi="Times New Roman" w:cs="Times New Roman"/>
                <w:b/>
                <w:bCs/>
                <w:kern w:val="0"/>
                <w:sz w:val="24"/>
                <w:szCs w:val="24"/>
              </w:rPr>
              <w:t>申请人</w:t>
            </w:r>
          </w:p>
        </w:tc>
        <w:tc>
          <w:tcPr>
            <w:tcW w:w="1276" w:type="dxa"/>
            <w:vAlign w:val="center"/>
          </w:tcPr>
          <w:p>
            <w:pPr>
              <w:jc w:val="center"/>
              <w:rPr>
                <w:rFonts w:ascii="Times New Roman" w:hAnsi="Times New Roman" w:cs="Times New Roman"/>
                <w:b/>
                <w:bCs/>
                <w:sz w:val="24"/>
                <w:szCs w:val="24"/>
              </w:rPr>
            </w:pPr>
            <w:r>
              <w:rPr>
                <w:rFonts w:ascii="Times New Roman" w:hAnsi="Times New Roman" w:cs="Times New Roman"/>
                <w:b/>
                <w:bCs/>
                <w:kern w:val="0"/>
                <w:sz w:val="24"/>
                <w:szCs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1</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高效新能源功率变换及优化运行</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胡存刚</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2</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电化学活性细菌介导的环境污染物生物强化修复机制研究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肖翔</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3</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异质结量子点结构与等离子体活化协同增强MxSnyTez（M=Zn、Mn）高比容量材料储钾性能的机制研究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张朝峰</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4</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氧化还原诱导的金属团簇转化</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于海珠</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5</w:t>
            </w:r>
          </w:p>
        </w:tc>
        <w:tc>
          <w:tcPr>
            <w:tcW w:w="4686" w:type="dxa"/>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代数Operad及其应用</w:t>
            </w:r>
          </w:p>
        </w:tc>
        <w:tc>
          <w:tcPr>
            <w:tcW w:w="200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鲍炎红</w:t>
            </w:r>
          </w:p>
        </w:tc>
        <w:tc>
          <w:tcPr>
            <w:tcW w:w="1276"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6</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高性能存储芯片的研究与设计</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吴秀龙</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color w:val="000000"/>
                <w:sz w:val="24"/>
                <w:szCs w:val="24"/>
                <w:lang w:val="en-US" w:eastAsia="zh-CN"/>
              </w:rPr>
              <w:t>7</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车联网主动安全防护机制研究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崔杰</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基于新型中红外光源的土壤HONO排放特征研究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崔小娟</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val="en-US" w:eastAsia="zh-CN"/>
              </w:rPr>
              <w:t>9</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航天变刚度折纸式抓捕柔性机械手设计与动力学行为研究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杨慧</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10</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永磁电机系统故障诊断</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杭俊</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11</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层状过渡金属碳/氮化物(MXene)自组装薄膜电极电子/离子输运行为调控及储荷性能研究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胡海波</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12</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制造型企业的平台化运营与绿色生产策略及协调机制研究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徐小平</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13</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企业跨界创新</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叶江峰</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14</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原子级精确结构钯团簇的设计合成及其催化的碳氢键选择性活化</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李漫波</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15</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稀土配合物催化烯烃不对称加成机理及手性催化剂设计的理论研究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罗根</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16</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基于大环的响应性固态发光材料的构建及其应用研究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魏培发</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17</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单一乙烯原料精准合成多种高性能聚烯烃材料</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代胜瑜</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18</w:t>
            </w:r>
          </w:p>
        </w:tc>
        <w:tc>
          <w:tcPr>
            <w:tcW w:w="4686" w:type="dxa"/>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异化金属还原细菌的生理和生态研究</w:t>
            </w:r>
          </w:p>
        </w:tc>
        <w:tc>
          <w:tcPr>
            <w:tcW w:w="200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安徽大学</w:t>
            </w:r>
          </w:p>
        </w:tc>
        <w:tc>
          <w:tcPr>
            <w:tcW w:w="1134"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程园园</w:t>
            </w:r>
          </w:p>
        </w:tc>
        <w:tc>
          <w:tcPr>
            <w:tcW w:w="1276"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color w:val="000000"/>
                <w:sz w:val="24"/>
                <w:szCs w:val="24"/>
                <w:lang w:eastAsia="zh-CN"/>
              </w:rPr>
            </w:pPr>
            <w:r>
              <w:rPr>
                <w:rFonts w:ascii="Times New Roman" w:hAnsi="Times New Roman" w:cs="Times New Roman"/>
                <w:color w:val="000000"/>
                <w:sz w:val="24"/>
                <w:szCs w:val="24"/>
              </w:rPr>
              <w:t>1</w:t>
            </w:r>
            <w:r>
              <w:rPr>
                <w:rFonts w:hint="eastAsia" w:ascii="Times New Roman" w:hAnsi="Times New Roman" w:cs="Times New Roman"/>
                <w:color w:val="000000"/>
                <w:sz w:val="24"/>
                <w:szCs w:val="24"/>
                <w:lang w:val="en-US" w:eastAsia="zh-CN"/>
              </w:rPr>
              <w:t>9</w:t>
            </w:r>
          </w:p>
        </w:tc>
        <w:tc>
          <w:tcPr>
            <w:tcW w:w="4686" w:type="dxa"/>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江淮流域自然湖泊与采煤沉陷湿地中水鸟群落的构建机制和生态响应</w:t>
            </w:r>
          </w:p>
        </w:tc>
        <w:tc>
          <w:tcPr>
            <w:tcW w:w="200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安徽大学</w:t>
            </w:r>
          </w:p>
        </w:tc>
        <w:tc>
          <w:tcPr>
            <w:tcW w:w="1134"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李春林</w:t>
            </w:r>
          </w:p>
        </w:tc>
        <w:tc>
          <w:tcPr>
            <w:tcW w:w="1276"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20</w:t>
            </w:r>
          </w:p>
        </w:tc>
        <w:tc>
          <w:tcPr>
            <w:tcW w:w="4686" w:type="dxa"/>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野生短尾猴维持社群网络关系的行为策略与动态适应</w:t>
            </w:r>
          </w:p>
        </w:tc>
        <w:tc>
          <w:tcPr>
            <w:tcW w:w="200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安徽大学</w:t>
            </w:r>
          </w:p>
        </w:tc>
        <w:tc>
          <w:tcPr>
            <w:tcW w:w="1134"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夏东坡</w:t>
            </w:r>
          </w:p>
        </w:tc>
        <w:tc>
          <w:tcPr>
            <w:tcW w:w="1276"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21</w:t>
            </w:r>
          </w:p>
        </w:tc>
        <w:tc>
          <w:tcPr>
            <w:tcW w:w="4686" w:type="dxa"/>
            <w:vAlign w:val="center"/>
          </w:tcPr>
          <w:p>
            <w:pP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mTORC1通路中氨基酸信号转导的分子机制</w:t>
            </w:r>
          </w:p>
        </w:tc>
        <w:tc>
          <w:tcPr>
            <w:tcW w:w="2003"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安徽大学</w:t>
            </w:r>
          </w:p>
        </w:tc>
        <w:tc>
          <w:tcPr>
            <w:tcW w:w="1134"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马金鸣</w:t>
            </w:r>
          </w:p>
        </w:tc>
        <w:tc>
          <w:tcPr>
            <w:tcW w:w="1276" w:type="dxa"/>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22</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 xml:space="preserve">具有高阶奇异摄动的椭圆及抛物方程的均匀化 </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钮维生</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val="en-US" w:eastAsia="zh-CN"/>
              </w:rPr>
              <w:t>23</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透射电镜高空间分辨协同磁性测量及应用</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宋东升</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24</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粒子物理唯象学的高精度研究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张宇</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25</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天体快中子俘获过程中原子核性质的理论研究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牛中明</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26</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低功耗存储器电路设计</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蔺智挺</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27</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聚合物光纤随机激光的研究</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胡志家</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28</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宇航芯片冗余容错</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闫爱斌</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3" w:type="dxa"/>
            <w:vAlign w:val="center"/>
          </w:tcPr>
          <w:p>
            <w:pPr>
              <w:jc w:val="cente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29</w:t>
            </w:r>
          </w:p>
        </w:tc>
        <w:tc>
          <w:tcPr>
            <w:tcW w:w="4686" w:type="dxa"/>
            <w:vAlign w:val="center"/>
          </w:tcPr>
          <w:p>
            <w:pPr>
              <w:rPr>
                <w:rFonts w:ascii="Times New Roman" w:hAnsi="Times New Roman" w:cs="Times New Roman"/>
                <w:kern w:val="0"/>
                <w:sz w:val="24"/>
                <w:szCs w:val="24"/>
              </w:rPr>
            </w:pPr>
            <w:r>
              <w:rPr>
                <w:rFonts w:ascii="Times New Roman" w:hAnsi="Times New Roman" w:cs="Times New Roman"/>
                <w:kern w:val="0"/>
                <w:sz w:val="24"/>
                <w:szCs w:val="24"/>
              </w:rPr>
              <w:t>高维视觉信息结构化学习理论与方法</w:t>
            </w:r>
          </w:p>
        </w:tc>
        <w:tc>
          <w:tcPr>
            <w:tcW w:w="2003"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安徽大学</w:t>
            </w:r>
          </w:p>
        </w:tc>
        <w:tc>
          <w:tcPr>
            <w:tcW w:w="1134"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江波</w:t>
            </w:r>
          </w:p>
        </w:tc>
        <w:tc>
          <w:tcPr>
            <w:tcW w:w="1276" w:type="dxa"/>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优青项目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87F85"/>
    <w:rsid w:val="6DB8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2021-06-09T02:58:00Z</dcterms:created>
  <dc:creator>苏坤</dc:creator>
  <cp:lastModifiedBy>苏坤</cp:lastModifiedBy>
  <dcterms:modified xsi:type="dcterms:W3CDTF">2021-06-09T03:04:30Z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1DE4E59E03A741B8A07A7ED89997F0F3</vt:lpwstr>
  </property>
</Properties>
</file>